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AB7" w:rsidRDefault="00363484">
      <w:pPr>
        <w:ind w:leftChars="-133" w:left="-426"/>
        <w:rPr>
          <w:rFonts w:ascii="宋体" w:hAnsi="宋体" w:cs="宋体"/>
          <w:kern w:val="0"/>
          <w:sz w:val="24"/>
        </w:rPr>
      </w:pPr>
      <w:r>
        <w:rPr>
          <w:rFonts w:ascii="宋体" w:hAnsi="宋体" w:cs="宋体" w:hint="eastAsia"/>
          <w:noProof/>
          <w:kern w:val="0"/>
        </w:rPr>
        <w:drawing>
          <wp:inline distT="0" distB="0" distL="114300" distR="114300">
            <wp:extent cx="6172834" cy="15163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stretch>
                      <a:fillRect/>
                    </a:stretch>
                  </pic:blipFill>
                  <pic:spPr>
                    <a:xfrm>
                      <a:off x="0" y="0"/>
                      <a:ext cx="6172834" cy="1516380"/>
                    </a:xfrm>
                    <a:prstGeom prst="rect">
                      <a:avLst/>
                    </a:prstGeom>
                    <a:noFill/>
                    <a:ln w="9525" cap="flat" cmpd="sng">
                      <a:noFill/>
                      <a:prstDash val="solid"/>
                      <a:miter/>
                    </a:ln>
                  </pic:spPr>
                </pic:pic>
              </a:graphicData>
            </a:graphic>
          </wp:inline>
        </w:drawing>
      </w:r>
    </w:p>
    <w:p w:rsidR="00881AB7" w:rsidRPr="005D2FD7" w:rsidRDefault="00363484">
      <w:pPr>
        <w:jc w:val="center"/>
        <w:rPr>
          <w:rFonts w:ascii="楷体" w:eastAsia="楷体" w:hAnsi="楷体" w:cs="宋体"/>
          <w:bCs/>
          <w:kern w:val="0"/>
          <w:szCs w:val="32"/>
        </w:rPr>
      </w:pPr>
      <w:bookmarkStart w:id="0" w:name="docnum"/>
      <w:bookmarkStart w:id="1" w:name="_GoBack"/>
      <w:r w:rsidRPr="005D2FD7">
        <w:rPr>
          <w:rFonts w:ascii="楷体" w:eastAsia="楷体" w:hAnsi="楷体" w:cs="宋体"/>
          <w:bCs/>
          <w:kern w:val="0"/>
          <w:szCs w:val="32"/>
        </w:rPr>
        <w:t>党组字〔</w:t>
      </w:r>
      <w:r w:rsidRPr="005D2FD7">
        <w:rPr>
          <w:rFonts w:ascii="楷体" w:eastAsia="楷体" w:hAnsi="楷体" w:cs="宋体"/>
          <w:bCs/>
          <w:kern w:val="0"/>
          <w:szCs w:val="32"/>
        </w:rPr>
        <w:t>2025</w:t>
      </w:r>
      <w:r w:rsidRPr="005D2FD7">
        <w:rPr>
          <w:rFonts w:ascii="楷体" w:eastAsia="楷体" w:hAnsi="楷体" w:cs="宋体"/>
          <w:bCs/>
          <w:kern w:val="0"/>
          <w:szCs w:val="32"/>
        </w:rPr>
        <w:t>〕</w:t>
      </w:r>
      <w:r w:rsidRPr="005D2FD7">
        <w:rPr>
          <w:rFonts w:ascii="楷体" w:eastAsia="楷体" w:hAnsi="楷体" w:cs="宋体"/>
          <w:bCs/>
          <w:kern w:val="0"/>
          <w:szCs w:val="32"/>
        </w:rPr>
        <w:t>34</w:t>
      </w:r>
      <w:r w:rsidRPr="005D2FD7">
        <w:rPr>
          <w:rFonts w:ascii="楷体" w:eastAsia="楷体" w:hAnsi="楷体" w:cs="宋体"/>
          <w:bCs/>
          <w:kern w:val="0"/>
          <w:szCs w:val="32"/>
        </w:rPr>
        <w:t>号</w:t>
      </w:r>
      <w:bookmarkEnd w:id="0"/>
      <w:bookmarkEnd w:id="1"/>
      <w:r w:rsidRPr="005D2FD7">
        <w:rPr>
          <w:rFonts w:ascii="楷体" w:eastAsia="楷体" w:hAnsi="楷体" w:cs="宋体" w:hint="eastAsia"/>
          <w:bCs/>
          <w:kern w:val="0"/>
          <w:szCs w:val="32"/>
        </w:rPr>
        <w:t xml:space="preserve">                     </w:t>
      </w:r>
    </w:p>
    <w:p w:rsidR="00881AB7" w:rsidRDefault="00363484">
      <w:pPr>
        <w:jc w:val="center"/>
        <w:rPr>
          <w:rFonts w:ascii="宋体" w:hAnsi="宋体" w:cs="宋体"/>
          <w:kern w:val="0"/>
          <w:sz w:val="24"/>
        </w:rPr>
      </w:pPr>
      <w:r>
        <w:rPr>
          <w:rFonts w:ascii="宋体" w:hAnsi="宋体" w:cs="宋体" w:hint="eastAsia"/>
          <w:noProof/>
          <w:kern w:val="0"/>
          <w:sz w:val="24"/>
        </w:rPr>
        <mc:AlternateContent>
          <mc:Choice Requires="wps">
            <w:drawing>
              <wp:inline distT="0" distB="0" distL="114300" distR="114300">
                <wp:extent cx="5760720" cy="50800"/>
                <wp:effectExtent l="0" t="0" r="0" b="0"/>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50800"/>
                        </a:xfrm>
                        <a:prstGeom prst="rect">
                          <a:avLst/>
                        </a:prstGeom>
                        <a:solidFill>
                          <a:srgbClr val="FF0000"/>
                        </a:solidFill>
                        <a:ln w="9525" cap="flat" cmpd="sng">
                          <a:noFill/>
                          <a:prstDash val="solid"/>
                          <a:miter/>
                        </a:ln>
                      </wps:spPr>
                      <wps:bodyPr vert="horz" wrap="square" lIns="91440" tIns="45720" rIns="91440" bIns="45720" anchor="t" anchorCtr="0" upright="1">
                        <a:noAutofit/>
                      </wps:bodyPr>
                    </wps:wsp>
                  </a:graphicData>
                </a:graphic>
              </wp:inline>
            </w:drawing>
          </mc:Choice>
          <mc:Fallback>
            <w:pict>
              <v:rect w14:anchorId="6A03BB94" id="矩形 3" o:spid="_x0000_s1026" style="width:453.6pt;height: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" fillcolor="red" stroked="f">
                <v:path arrowok="t"/>
                <w10:anchorlock/>
              </v:rect>
            </w:pict>
          </mc:Fallback>
        </mc:AlternateContent>
      </w:r>
    </w:p>
    <w:p w:rsidR="00881AB7" w:rsidRDefault="00881AB7">
      <w:pPr>
        <w:widowControl/>
        <w:spacing w:line="580" w:lineRule="exact"/>
        <w:rPr>
          <w:rFonts w:ascii="仿宋_GB2312" w:hAnsi="宋体" w:cs="宋体"/>
          <w:color w:val="000000"/>
          <w:kern w:val="0"/>
          <w:szCs w:val="32"/>
        </w:rPr>
      </w:pPr>
    </w:p>
    <w:p w:rsidR="00881AB7" w:rsidRDefault="00363484">
      <w:pPr>
        <w:widowControl/>
        <w:spacing w:line="580" w:lineRule="exact"/>
        <w:jc w:val="center"/>
        <w:rPr>
          <w:rFonts w:ascii="宋体" w:hAnsi="宋体" w:cs="宋体"/>
          <w:kern w:val="0"/>
          <w:sz w:val="24"/>
        </w:rPr>
      </w:pPr>
      <w:bookmarkStart w:id="2" w:name="docsubject"/>
      <w:r>
        <w:rPr>
          <w:rFonts w:ascii="方正小标宋简体" w:eastAsia="方正小标宋简体" w:hAnsi="宋体" w:cs="宋体"/>
          <w:color w:val="000000"/>
          <w:w w:val="98"/>
          <w:kern w:val="0"/>
          <w:sz w:val="44"/>
          <w:szCs w:val="44"/>
        </w:rPr>
        <w:t>关于印发《安徽工程大学二级党组织书记抓基层</w:t>
      </w:r>
      <w:r>
        <w:rPr>
          <w:rFonts w:ascii="方正小标宋简体" w:eastAsia="方正小标宋简体" w:hAnsi="宋体" w:cs="宋体"/>
          <w:color w:val="000000"/>
          <w:kern w:val="0"/>
          <w:sz w:val="44"/>
          <w:szCs w:val="44"/>
        </w:rPr>
        <w:t>党建工作述职评议考核办法》的通知</w:t>
      </w:r>
      <w:bookmarkEnd w:id="2"/>
      <w:r>
        <w:rPr>
          <w:rFonts w:ascii="方正小标宋简体" w:eastAsia="方正小标宋简体" w:hAnsi="宋体" w:cs="宋体" w:hint="eastAsia"/>
          <w:color w:val="000000"/>
          <w:kern w:val="0"/>
          <w:sz w:val="44"/>
          <w:szCs w:val="44"/>
        </w:rPr>
        <w:t xml:space="preserve"> </w:t>
      </w:r>
    </w:p>
    <w:p w:rsidR="00881AB7" w:rsidRDefault="00881AB7">
      <w:pPr>
        <w:spacing w:line="580" w:lineRule="exact"/>
        <w:rPr>
          <w:szCs w:val="32"/>
        </w:rPr>
      </w:pPr>
    </w:p>
    <w:p w:rsidR="00881AB7" w:rsidRDefault="00363484">
      <w:pPr>
        <w:pStyle w:val="p6"/>
        <w:spacing w:before="0" w:beforeAutospacing="0" w:after="0" w:afterAutospacing="0" w:line="580" w:lineRule="exact"/>
        <w:jc w:val="both"/>
        <w:rPr>
          <w:rFonts w:ascii="Times New Roman" w:eastAsia="楷体" w:hAnsi="Times New Roman"/>
          <w:color w:val="000000"/>
          <w:sz w:val="32"/>
          <w:szCs w:val="32"/>
        </w:rPr>
      </w:pPr>
      <w:r>
        <w:rPr>
          <w:rFonts w:ascii="Times New Roman" w:eastAsia="楷体" w:hAnsi="Times New Roman" w:hint="eastAsia"/>
          <w:color w:val="000000"/>
          <w:sz w:val="32"/>
          <w:szCs w:val="32"/>
        </w:rPr>
        <w:t>各二级党组织，各学院、各部门：</w:t>
      </w:r>
    </w:p>
    <w:p w:rsidR="00881AB7" w:rsidRDefault="00363484">
      <w:pPr>
        <w:pStyle w:val="p6"/>
        <w:spacing w:before="0" w:beforeAutospacing="0" w:after="0" w:afterAutospacing="0" w:line="580" w:lineRule="exact"/>
        <w:ind w:firstLine="658"/>
        <w:jc w:val="both"/>
        <w:rPr>
          <w:rFonts w:ascii="Times New Roman" w:eastAsia="楷体" w:hAnsi="Times New Roman"/>
          <w:color w:val="000000"/>
          <w:sz w:val="32"/>
          <w:szCs w:val="32"/>
        </w:rPr>
      </w:pPr>
      <w:r>
        <w:rPr>
          <w:rFonts w:ascii="Times New Roman" w:eastAsia="楷体" w:hAnsi="Times New Roman" w:hint="eastAsia"/>
          <w:color w:val="000000"/>
          <w:sz w:val="32"/>
          <w:szCs w:val="32"/>
        </w:rPr>
        <w:t>《安徽工程大学二级党组织书记抓基层党建工作述职评议考核办法》已经校第三届党委常委会第</w:t>
      </w:r>
      <w:r>
        <w:rPr>
          <w:rFonts w:ascii="Times New Roman" w:eastAsia="楷体" w:hAnsi="Times New Roman"/>
          <w:color w:val="000000"/>
          <w:sz w:val="32"/>
          <w:szCs w:val="32"/>
        </w:rPr>
        <w:t>22</w:t>
      </w:r>
      <w:r>
        <w:rPr>
          <w:rFonts w:ascii="Times New Roman" w:eastAsia="楷体" w:hAnsi="Times New Roman" w:hint="eastAsia"/>
          <w:color w:val="000000"/>
          <w:sz w:val="32"/>
          <w:szCs w:val="32"/>
        </w:rPr>
        <w:t>次会议研究同意，现印发实施，请结合实际认真贯彻落实。</w:t>
      </w:r>
    </w:p>
    <w:p w:rsidR="00881AB7" w:rsidRDefault="00881AB7">
      <w:pPr>
        <w:pBdr>
          <w:top w:val="none" w:sz="0" w:space="1" w:color="auto"/>
          <w:left w:val="none" w:sz="0" w:space="4" w:color="auto"/>
          <w:bottom w:val="none" w:sz="0" w:space="1" w:color="auto"/>
          <w:right w:val="none" w:sz="0" w:space="4" w:color="auto"/>
        </w:pBdr>
        <w:adjustRightInd w:val="0"/>
        <w:snapToGrid w:val="0"/>
        <w:spacing w:line="580" w:lineRule="exact"/>
        <w:ind w:firstLine="640"/>
        <w:rPr>
          <w:rFonts w:eastAsia="楷体"/>
          <w:color w:val="000000"/>
          <w:szCs w:val="32"/>
        </w:rPr>
      </w:pPr>
    </w:p>
    <w:p w:rsidR="00881AB7" w:rsidRDefault="00881AB7">
      <w:pPr>
        <w:pBdr>
          <w:top w:val="none" w:sz="0" w:space="1" w:color="auto"/>
          <w:left w:val="none" w:sz="0" w:space="4" w:color="auto"/>
          <w:bottom w:val="none" w:sz="0" w:space="1" w:color="auto"/>
          <w:right w:val="none" w:sz="0" w:space="4" w:color="auto"/>
        </w:pBdr>
        <w:adjustRightInd w:val="0"/>
        <w:snapToGrid w:val="0"/>
        <w:spacing w:line="580" w:lineRule="exact"/>
        <w:ind w:firstLine="640"/>
        <w:rPr>
          <w:rFonts w:eastAsia="楷体"/>
          <w:color w:val="000000"/>
          <w:szCs w:val="32"/>
        </w:rPr>
      </w:pPr>
    </w:p>
    <w:p w:rsidR="00881AB7" w:rsidRDefault="00363484">
      <w:pPr>
        <w:pBdr>
          <w:top w:val="none" w:sz="0" w:space="1" w:color="auto"/>
          <w:left w:val="none" w:sz="0" w:space="4" w:color="auto"/>
          <w:bottom w:val="none" w:sz="0" w:space="1" w:color="auto"/>
          <w:right w:val="none" w:sz="0" w:space="4" w:color="auto"/>
        </w:pBdr>
        <w:adjustRightInd w:val="0"/>
        <w:snapToGrid w:val="0"/>
        <w:spacing w:line="580" w:lineRule="exact"/>
        <w:ind w:firstLine="640"/>
        <w:rPr>
          <w:rFonts w:eastAsia="楷体"/>
          <w:color w:val="000000"/>
          <w:szCs w:val="32"/>
        </w:rPr>
      </w:pPr>
      <w:r>
        <w:rPr>
          <w:rFonts w:eastAsia="楷体"/>
          <w:color w:val="000000"/>
          <w:szCs w:val="32"/>
        </w:rPr>
        <w:t xml:space="preserve">                         </w:t>
      </w:r>
      <w:r>
        <w:rPr>
          <w:rFonts w:eastAsia="楷体" w:cs="楷体" w:hint="eastAsia"/>
          <w:color w:val="000000"/>
          <w:szCs w:val="32"/>
        </w:rPr>
        <w:t>中共安徽工程大学委员会</w:t>
      </w:r>
    </w:p>
    <w:p w:rsidR="00881AB7" w:rsidRDefault="00363484">
      <w:pPr>
        <w:pBdr>
          <w:top w:val="none" w:sz="0" w:space="1" w:color="auto"/>
          <w:left w:val="none" w:sz="0" w:space="4" w:color="auto"/>
          <w:bottom w:val="none" w:sz="0" w:space="1" w:color="auto"/>
          <w:right w:val="none" w:sz="0" w:space="4" w:color="auto"/>
        </w:pBdr>
        <w:adjustRightInd w:val="0"/>
        <w:snapToGrid w:val="0"/>
        <w:spacing w:line="580" w:lineRule="exact"/>
        <w:ind w:firstLine="640"/>
        <w:rPr>
          <w:rFonts w:eastAsia="楷体"/>
          <w:color w:val="000000"/>
          <w:szCs w:val="32"/>
        </w:rPr>
      </w:pPr>
      <w:r>
        <w:rPr>
          <w:rFonts w:eastAsia="楷体"/>
          <w:color w:val="000000"/>
          <w:szCs w:val="32"/>
        </w:rPr>
        <w:t xml:space="preserve">                            2025</w:t>
      </w:r>
      <w:r>
        <w:rPr>
          <w:rFonts w:eastAsia="楷体" w:cs="楷体" w:hint="eastAsia"/>
          <w:color w:val="000000"/>
          <w:szCs w:val="32"/>
        </w:rPr>
        <w:t>年</w:t>
      </w:r>
      <w:r>
        <w:rPr>
          <w:rFonts w:eastAsia="楷体"/>
          <w:color w:val="000000"/>
          <w:szCs w:val="32"/>
        </w:rPr>
        <w:t>7</w:t>
      </w:r>
      <w:r>
        <w:rPr>
          <w:rFonts w:eastAsia="楷体" w:cs="楷体" w:hint="eastAsia"/>
          <w:color w:val="000000"/>
          <w:szCs w:val="32"/>
        </w:rPr>
        <w:t>月</w:t>
      </w:r>
      <w:r>
        <w:rPr>
          <w:rFonts w:eastAsia="楷体"/>
          <w:color w:val="000000"/>
          <w:szCs w:val="32"/>
        </w:rPr>
        <w:t>21</w:t>
      </w:r>
      <w:r>
        <w:rPr>
          <w:rFonts w:eastAsia="楷体" w:cs="楷体" w:hint="eastAsia"/>
          <w:color w:val="000000"/>
          <w:szCs w:val="32"/>
        </w:rPr>
        <w:t>日</w:t>
      </w:r>
    </w:p>
    <w:p w:rsidR="00881AB7" w:rsidRDefault="00363484">
      <w:pPr>
        <w:pBdr>
          <w:top w:val="none" w:sz="0" w:space="1" w:color="auto"/>
          <w:left w:val="none" w:sz="0" w:space="4" w:color="auto"/>
          <w:bottom w:val="none" w:sz="0" w:space="1" w:color="auto"/>
          <w:right w:val="none" w:sz="0" w:space="4" w:color="auto"/>
        </w:pBdr>
        <w:adjustRightInd w:val="0"/>
        <w:snapToGrid w:val="0"/>
        <w:spacing w:after="100" w:afterAutospacing="1" w:line="580" w:lineRule="exact"/>
        <w:jc w:val="center"/>
        <w:rPr>
          <w:rFonts w:eastAsia="仿宋"/>
          <w:color w:val="000000"/>
          <w:sz w:val="44"/>
          <w:szCs w:val="44"/>
          <w:shd w:val="clear" w:color="auto" w:fill="FFFFFF"/>
        </w:rPr>
      </w:pPr>
      <w:r>
        <w:rPr>
          <w:color w:val="000000"/>
          <w:szCs w:val="32"/>
        </w:rPr>
        <w:br w:type="page"/>
      </w:r>
      <w:r>
        <w:rPr>
          <w:rFonts w:eastAsia="方正小标宋简体" w:hint="eastAsia"/>
          <w:color w:val="000000"/>
          <w:sz w:val="44"/>
          <w:szCs w:val="44"/>
          <w:shd w:val="clear" w:color="auto" w:fill="FFFFFF"/>
        </w:rPr>
        <w:lastRenderedPageBreak/>
        <w:t>安徽工程大学二级党组织书记抓基层党建工作述职评议考核办法</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eastAsia="黑体" w:hint="eastAsia"/>
          <w:color w:val="000000"/>
          <w:szCs w:val="32"/>
          <w:shd w:val="clear" w:color="auto" w:fill="FFFFFF"/>
        </w:rPr>
        <w:t xml:space="preserve">第一条　</w:t>
      </w:r>
      <w:r>
        <w:rPr>
          <w:rFonts w:hint="eastAsia"/>
          <w:color w:val="000000"/>
          <w:szCs w:val="32"/>
          <w:shd w:val="clear" w:color="auto" w:fill="FFFFFF"/>
        </w:rPr>
        <w:t>为坚持和加强党的全面领导，完善二级党组织书记抓基层党建工作述职评议考核制度，夯实基层党建工作，落实管党治党政治责任，推进全面从严治党向基层延伸，根据《中国共产党章程》和《中国共产党普通高等学校基层组织工作条例》《党委（党组）书记抓基层党建工作述职评议考核办法（试行）》《党政领导干部考核工作条例》等党内法规，制定本办法。</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eastAsia="黑体" w:hint="eastAsia"/>
          <w:color w:val="000000"/>
          <w:szCs w:val="32"/>
          <w:shd w:val="clear" w:color="auto" w:fill="FFFFFF"/>
        </w:rPr>
        <w:t xml:space="preserve">第二条　</w:t>
      </w:r>
      <w:r>
        <w:rPr>
          <w:rFonts w:hint="eastAsia"/>
          <w:szCs w:val="32"/>
          <w:shd w:val="clear" w:color="auto" w:fill="FFFFFF"/>
        </w:rPr>
        <w:t>学校党委每年组织</w:t>
      </w:r>
      <w:r>
        <w:rPr>
          <w:rFonts w:hint="eastAsia"/>
          <w:color w:val="000000"/>
          <w:szCs w:val="32"/>
          <w:shd w:val="clear" w:color="auto" w:fill="FFFFFF"/>
        </w:rPr>
        <w:t>开展二级党组织书记抓基层党建工作述职评议考核（以下简称</w:t>
      </w:r>
      <w:r>
        <w:rPr>
          <w:color w:val="000000"/>
          <w:szCs w:val="32"/>
          <w:shd w:val="clear" w:color="auto" w:fill="FFFFFF"/>
        </w:rPr>
        <w:t>“</w:t>
      </w:r>
      <w:bookmarkStart w:id="3" w:name="OLE_LINK1"/>
      <w:r>
        <w:rPr>
          <w:rFonts w:hint="eastAsia"/>
          <w:color w:val="000000"/>
          <w:szCs w:val="32"/>
          <w:shd w:val="clear" w:color="auto" w:fill="FFFFFF"/>
        </w:rPr>
        <w:t>述职评议考核</w:t>
      </w:r>
      <w:bookmarkEnd w:id="3"/>
      <w:r>
        <w:rPr>
          <w:color w:val="000000"/>
          <w:szCs w:val="32"/>
          <w:shd w:val="clear" w:color="auto" w:fill="FFFFFF"/>
        </w:rPr>
        <w:t>”</w:t>
      </w:r>
      <w:r>
        <w:rPr>
          <w:rFonts w:hint="eastAsia"/>
          <w:color w:val="000000"/>
          <w:szCs w:val="32"/>
          <w:shd w:val="clear" w:color="auto" w:fill="FFFFFF"/>
        </w:rPr>
        <w:t>）。述职评议考核坚持以习近平新时代中国特色社会主义思想为指导，把党的政治建设摆在首位，落实全面从严治党；坚持围绕中心、服务大局，推动基层党建与中心工作深度融合；坚持书记抓、抓书记，强化责任落实；坚持分类指导、务求实效，重在解决问题，坚决防止形式主义。</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eastAsia="黑体" w:hint="eastAsia"/>
          <w:color w:val="000000"/>
          <w:szCs w:val="32"/>
          <w:shd w:val="clear" w:color="auto" w:fill="FFFFFF"/>
        </w:rPr>
        <w:t xml:space="preserve">第三条　</w:t>
      </w:r>
      <w:r>
        <w:rPr>
          <w:rFonts w:hint="eastAsia"/>
          <w:color w:val="000000"/>
          <w:szCs w:val="32"/>
          <w:shd w:val="clear" w:color="auto" w:fill="FFFFFF"/>
        </w:rPr>
        <w:t>述职评议考核应聚焦坚持和加强党的全面领导，落实党中央和上级党组织关于基层党建工作部署要求，履行基层党建工作责任，以提升组织力为重点，突出政治功能。考核主要内容包括：</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hint="eastAsia"/>
          <w:color w:val="000000"/>
          <w:szCs w:val="32"/>
          <w:shd w:val="clear" w:color="auto" w:fill="FFFFFF"/>
        </w:rPr>
        <w:lastRenderedPageBreak/>
        <w:t>（一）推进基层党组织和广大党员、干部深入学习贯彻习近平新时代中国特色社会主义思想，认真</w:t>
      </w:r>
      <w:r>
        <w:rPr>
          <w:rFonts w:hint="eastAsia"/>
          <w:color w:val="000000"/>
          <w:szCs w:val="32"/>
          <w:shd w:val="clear" w:color="auto" w:fill="FFFFFF"/>
        </w:rPr>
        <w:t>落实习近平总书记重要指示批示精神和党中央重大决策部署，将不忘初心、牢记使命作为全体党员、干部的终身课题，深刻领悟</w:t>
      </w:r>
      <w:r>
        <w:rPr>
          <w:color w:val="000000"/>
          <w:szCs w:val="32"/>
          <w:shd w:val="clear" w:color="auto" w:fill="FFFFFF"/>
        </w:rPr>
        <w:t>“</w:t>
      </w:r>
      <w:r>
        <w:rPr>
          <w:rFonts w:hint="eastAsia"/>
          <w:color w:val="000000"/>
          <w:szCs w:val="32"/>
          <w:shd w:val="clear" w:color="auto" w:fill="FFFFFF"/>
        </w:rPr>
        <w:t>两个确立</w:t>
      </w:r>
      <w:r>
        <w:rPr>
          <w:color w:val="000000"/>
          <w:szCs w:val="32"/>
          <w:shd w:val="clear" w:color="auto" w:fill="FFFFFF"/>
        </w:rPr>
        <w:t>”</w:t>
      </w:r>
      <w:r>
        <w:rPr>
          <w:rFonts w:hint="eastAsia"/>
          <w:color w:val="000000"/>
          <w:szCs w:val="32"/>
          <w:shd w:val="clear" w:color="auto" w:fill="FFFFFF"/>
        </w:rPr>
        <w:t>的决定性意义，增强</w:t>
      </w:r>
      <w:r>
        <w:rPr>
          <w:color w:val="000000"/>
          <w:szCs w:val="32"/>
          <w:shd w:val="clear" w:color="auto" w:fill="FFFFFF"/>
        </w:rPr>
        <w:t>“</w:t>
      </w:r>
      <w:r>
        <w:rPr>
          <w:rFonts w:hint="eastAsia"/>
          <w:color w:val="000000"/>
          <w:szCs w:val="32"/>
          <w:shd w:val="clear" w:color="auto" w:fill="FFFFFF"/>
        </w:rPr>
        <w:t>四个意识</w:t>
      </w:r>
      <w:r>
        <w:rPr>
          <w:color w:val="000000"/>
          <w:szCs w:val="32"/>
          <w:shd w:val="clear" w:color="auto" w:fill="FFFFFF"/>
        </w:rPr>
        <w:t>”</w:t>
      </w:r>
      <w:r>
        <w:rPr>
          <w:rFonts w:hint="eastAsia"/>
          <w:color w:val="000000"/>
          <w:szCs w:val="32"/>
          <w:shd w:val="clear" w:color="auto" w:fill="FFFFFF"/>
        </w:rPr>
        <w:t>、坚定</w:t>
      </w:r>
      <w:r>
        <w:rPr>
          <w:color w:val="000000"/>
          <w:szCs w:val="32"/>
          <w:shd w:val="clear" w:color="auto" w:fill="FFFFFF"/>
        </w:rPr>
        <w:t>“</w:t>
      </w:r>
      <w:r>
        <w:rPr>
          <w:rFonts w:hint="eastAsia"/>
          <w:color w:val="000000"/>
          <w:szCs w:val="32"/>
          <w:shd w:val="clear" w:color="auto" w:fill="FFFFFF"/>
        </w:rPr>
        <w:t>四个自信</w:t>
      </w:r>
      <w:r>
        <w:rPr>
          <w:color w:val="000000"/>
          <w:szCs w:val="32"/>
          <w:shd w:val="clear" w:color="auto" w:fill="FFFFFF"/>
        </w:rPr>
        <w:t>”</w:t>
      </w:r>
      <w:r>
        <w:rPr>
          <w:rFonts w:hint="eastAsia"/>
          <w:color w:val="000000"/>
          <w:szCs w:val="32"/>
          <w:shd w:val="clear" w:color="auto" w:fill="FFFFFF"/>
        </w:rPr>
        <w:t>、做到</w:t>
      </w:r>
      <w:r>
        <w:rPr>
          <w:color w:val="000000"/>
          <w:szCs w:val="32"/>
          <w:shd w:val="clear" w:color="auto" w:fill="FFFFFF"/>
        </w:rPr>
        <w:t>“</w:t>
      </w:r>
      <w:r>
        <w:rPr>
          <w:rFonts w:hint="eastAsia"/>
          <w:color w:val="000000"/>
          <w:szCs w:val="32"/>
          <w:shd w:val="clear" w:color="auto" w:fill="FFFFFF"/>
        </w:rPr>
        <w:t>两个维护</w:t>
      </w:r>
      <w:r>
        <w:rPr>
          <w:color w:val="000000"/>
          <w:szCs w:val="32"/>
          <w:shd w:val="clear" w:color="auto" w:fill="FFFFFF"/>
        </w:rPr>
        <w:t>”</w:t>
      </w:r>
      <w:r>
        <w:rPr>
          <w:rFonts w:hint="eastAsia"/>
          <w:color w:val="000000"/>
          <w:szCs w:val="32"/>
          <w:shd w:val="clear" w:color="auto" w:fill="FFFFFF"/>
        </w:rPr>
        <w:t>等情况；</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hint="eastAsia"/>
          <w:color w:val="000000"/>
          <w:szCs w:val="32"/>
          <w:shd w:val="clear" w:color="auto" w:fill="FFFFFF"/>
        </w:rPr>
        <w:t>（二）二级党组织书记履行抓基层党建和全面从严治党工作第一责任人职责，推动二级党组织履行抓基层党建工作主体责任、班子其他成员履行分管领域基层党建工作责任等情况；</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hint="eastAsia"/>
          <w:color w:val="000000"/>
          <w:szCs w:val="32"/>
          <w:shd w:val="clear" w:color="auto" w:fill="FFFFFF"/>
        </w:rPr>
        <w:t>（三）落实基层党建工作重点任务，推进基层党组织建设，加强党支部建设和党员队伍建设，联系服务群众等情况；</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hint="eastAsia"/>
          <w:color w:val="000000"/>
          <w:szCs w:val="32"/>
          <w:shd w:val="clear" w:color="auto" w:fill="FFFFFF"/>
        </w:rPr>
        <w:t>（四）围绕党和国家工作大局、本单位中心任务，充分</w:t>
      </w:r>
      <w:r>
        <w:rPr>
          <w:rFonts w:hint="eastAsia"/>
          <w:color w:val="000000"/>
          <w:szCs w:val="32"/>
          <w:shd w:val="clear" w:color="auto" w:fill="FFFFFF"/>
        </w:rPr>
        <w:t>发挥基层党组织战斗堡垒作用和党员先锋模范作用等情况；</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hint="eastAsia"/>
          <w:color w:val="000000"/>
          <w:szCs w:val="32"/>
          <w:shd w:val="clear" w:color="auto" w:fill="FFFFFF"/>
        </w:rPr>
        <w:t>（五）推动基层党组织落实党风廉政建设责任制、意识形态工作责任制、师德师风建设要求等全面从严治党有关工作情况。</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hint="eastAsia"/>
          <w:color w:val="000000"/>
          <w:szCs w:val="32"/>
          <w:shd w:val="clear" w:color="auto" w:fill="FFFFFF"/>
        </w:rPr>
        <w:t>同时，应结合实际，将学校年度工作要点、党的建设工作要点等纳入述职评议考核重点内容，注重考核上年度述职评议考核整改清单落实情况和巡视、巡察反馈中涉及基层党建工作问题整改成效，着力解决突出问题，避免面面俱到、走过场。</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eastAsia="黑体" w:hint="eastAsia"/>
          <w:color w:val="000000"/>
          <w:szCs w:val="32"/>
          <w:shd w:val="clear" w:color="auto" w:fill="FFFFFF"/>
        </w:rPr>
        <w:t xml:space="preserve">第四条　</w:t>
      </w:r>
      <w:r>
        <w:rPr>
          <w:rFonts w:hint="eastAsia"/>
          <w:color w:val="000000"/>
          <w:szCs w:val="32"/>
          <w:shd w:val="clear" w:color="auto" w:fill="FFFFFF"/>
        </w:rPr>
        <w:t>述职评议考核工作一般于当年年底或次年年初组织实施。</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rFonts w:eastAsia="宋体"/>
          <w:sz w:val="21"/>
        </w:rPr>
      </w:pPr>
      <w:r>
        <w:rPr>
          <w:rFonts w:hint="eastAsia"/>
          <w:color w:val="000000"/>
          <w:szCs w:val="32"/>
          <w:shd w:val="clear" w:color="auto" w:fill="FFFFFF"/>
        </w:rPr>
        <w:lastRenderedPageBreak/>
        <w:t>述职一般采取现场述职与书面述职相结合的方式进行。述职的二级党组织书记要紧扣</w:t>
      </w:r>
      <w:r>
        <w:rPr>
          <w:rFonts w:hint="eastAsia"/>
          <w:color w:val="000000"/>
          <w:szCs w:val="32"/>
          <w:shd w:val="clear" w:color="auto" w:fill="FFFFFF"/>
        </w:rPr>
        <w:t>述职评议考核重点内容，把自己摆进去，总结工作成效，深入查摆突出问题、深刻剖析问题根源，提出切实可行的改进措施</w:t>
      </w:r>
      <w:r>
        <w:rPr>
          <w:rFonts w:ascii="仿宋_GB2312" w:hint="eastAsia"/>
          <w:color w:val="000000"/>
          <w:szCs w:val="32"/>
          <w:shd w:val="clear" w:color="auto" w:fill="FFFFFF"/>
        </w:rPr>
        <w:t>二级党组织书记应经常深入基层开展调研，掌握基层党建工作实情，推动解决突出问题</w:t>
      </w:r>
      <w:r>
        <w:rPr>
          <w:rFonts w:hint="eastAsia"/>
          <w:color w:val="000000"/>
          <w:szCs w:val="32"/>
          <w:shd w:val="clear" w:color="auto" w:fill="FFFFFF"/>
        </w:rPr>
        <w:t>。述职评议前，要对履职尽责抓基层党建工作情况进行总结，做好述职准备。</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hint="eastAsia"/>
          <w:color w:val="000000"/>
          <w:szCs w:val="32"/>
          <w:shd w:val="clear" w:color="auto" w:fill="FFFFFF"/>
        </w:rPr>
        <w:t>学校党委一般以党委常委会扩大会议的形式，听取二级党组织书记述职。根据工作实际，可邀请部分熟悉基层党建工作情况的党代表、人大代表、政协委员和基层师生代表参加。</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hint="eastAsia"/>
          <w:color w:val="000000"/>
          <w:szCs w:val="32"/>
          <w:shd w:val="clear" w:color="auto" w:fill="FFFFFF"/>
        </w:rPr>
        <w:t>校党委书记对述职情况逐一进行点评，班子其他成员可结合分管工作进行点评，重点指出存在的问题和努力方向。点评一般采取</w:t>
      </w:r>
      <w:r>
        <w:rPr>
          <w:color w:val="000000"/>
          <w:szCs w:val="32"/>
          <w:shd w:val="clear" w:color="auto" w:fill="FFFFFF"/>
        </w:rPr>
        <w:t>“</w:t>
      </w:r>
      <w:r>
        <w:rPr>
          <w:rFonts w:hint="eastAsia"/>
          <w:color w:val="000000"/>
          <w:szCs w:val="32"/>
          <w:shd w:val="clear" w:color="auto" w:fill="FFFFFF"/>
        </w:rPr>
        <w:t>一述一评</w:t>
      </w:r>
      <w:r>
        <w:rPr>
          <w:color w:val="000000"/>
          <w:szCs w:val="32"/>
          <w:shd w:val="clear" w:color="auto" w:fill="FFFFFF"/>
        </w:rPr>
        <w:t>”</w:t>
      </w:r>
      <w:r>
        <w:rPr>
          <w:rFonts w:hint="eastAsia"/>
          <w:color w:val="000000"/>
          <w:szCs w:val="32"/>
          <w:shd w:val="clear" w:color="auto" w:fill="FFFFFF"/>
        </w:rPr>
        <w:t>的方式进行，也可结合实际集中点评。现场述职评议时，应组织参会人员进行评议。述职评议后，述职报告应在一定范围内公布，接受基层党组织和师生监督。</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eastAsia="黑体" w:hint="eastAsia"/>
          <w:color w:val="000000"/>
          <w:szCs w:val="32"/>
          <w:shd w:val="clear" w:color="auto" w:fill="FFFFFF"/>
        </w:rPr>
        <w:t xml:space="preserve">第五条　</w:t>
      </w:r>
      <w:r>
        <w:rPr>
          <w:rFonts w:hint="eastAsia"/>
          <w:color w:val="000000"/>
          <w:szCs w:val="32"/>
          <w:shd w:val="clear" w:color="auto" w:fill="FFFFFF"/>
        </w:rPr>
        <w:t>将基层党建工作考核统一纳入二级党组织书记抓基层党建工作述职评议考核范畴，推动与其他业务考核统筹开展。</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hint="eastAsia"/>
          <w:color w:val="000000"/>
          <w:szCs w:val="32"/>
          <w:shd w:val="clear" w:color="auto" w:fill="FFFFFF"/>
        </w:rPr>
        <w:t>述职评议前，学校党委对二级党组织基层党建工作情况进行实地考核，深入了解二级党组织书记抓基层党建工作情况。根据不同类型党组织职责任务和工作</w:t>
      </w:r>
      <w:r>
        <w:rPr>
          <w:rFonts w:hint="eastAsia"/>
          <w:color w:val="000000"/>
          <w:szCs w:val="32"/>
          <w:shd w:val="clear" w:color="auto" w:fill="FFFFFF"/>
        </w:rPr>
        <w:t>实际，精简优化考核内容，注重实绩实效。改进考核方式，多到现场看，多见具体事，多听师生</w:t>
      </w:r>
      <w:r>
        <w:rPr>
          <w:rFonts w:hint="eastAsia"/>
          <w:color w:val="000000"/>
          <w:szCs w:val="32"/>
          <w:shd w:val="clear" w:color="auto" w:fill="FFFFFF"/>
        </w:rPr>
        <w:lastRenderedPageBreak/>
        <w:t>说，对可以通过现场查看、走访师生等作出评价的，一般不以听汇报、查资料、看台账的方式进行考核，不以开会发文、领导批示、记录留痕、信息宣传数量等评判工作好坏，防止形式主义，切实为基层减负。</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000000"/>
          <w:szCs w:val="32"/>
          <w:shd w:val="clear" w:color="auto" w:fill="FFFFFF"/>
        </w:rPr>
      </w:pPr>
      <w:r>
        <w:rPr>
          <w:rFonts w:hint="eastAsia"/>
          <w:color w:val="000000"/>
          <w:szCs w:val="32"/>
          <w:shd w:val="clear" w:color="auto" w:fill="FFFFFF"/>
        </w:rPr>
        <w:t>学校党委依据述职评议和实地考核结果，并结合平时调研了解，对二级党组织书记抓基层党建工作情况形成综合评价意见，肯定成绩，指出不足，并按</w:t>
      </w:r>
      <w:r>
        <w:rPr>
          <w:color w:val="000000"/>
          <w:szCs w:val="32"/>
          <w:shd w:val="clear" w:color="auto" w:fill="FFFFFF"/>
        </w:rPr>
        <w:t>“</w:t>
      </w:r>
      <w:r>
        <w:rPr>
          <w:rFonts w:hint="eastAsia"/>
          <w:color w:val="000000"/>
          <w:szCs w:val="32"/>
          <w:shd w:val="clear" w:color="auto" w:fill="FFFFFF"/>
        </w:rPr>
        <w:t>好、较好、一般、差</w:t>
      </w:r>
      <w:r>
        <w:rPr>
          <w:color w:val="000000"/>
          <w:szCs w:val="32"/>
          <w:shd w:val="clear" w:color="auto" w:fill="FFFFFF"/>
        </w:rPr>
        <w:t>”</w:t>
      </w:r>
      <w:r>
        <w:rPr>
          <w:rFonts w:hint="eastAsia"/>
          <w:color w:val="000000"/>
          <w:szCs w:val="32"/>
          <w:shd w:val="clear" w:color="auto" w:fill="FFFFFF"/>
        </w:rPr>
        <w:t>确定考核结果。评价为</w:t>
      </w:r>
      <w:r>
        <w:rPr>
          <w:color w:val="000000"/>
          <w:szCs w:val="32"/>
          <w:shd w:val="clear" w:color="auto" w:fill="FFFFFF"/>
        </w:rPr>
        <w:t>“</w:t>
      </w:r>
      <w:r>
        <w:rPr>
          <w:rFonts w:hint="eastAsia"/>
          <w:color w:val="000000"/>
          <w:szCs w:val="32"/>
          <w:shd w:val="clear" w:color="auto" w:fill="FFFFFF"/>
        </w:rPr>
        <w:t>较好</w:t>
      </w:r>
      <w:r>
        <w:rPr>
          <w:color w:val="000000"/>
          <w:szCs w:val="32"/>
          <w:shd w:val="clear" w:color="auto" w:fill="FFFFFF"/>
        </w:rPr>
        <w:t>”</w:t>
      </w:r>
      <w:r>
        <w:rPr>
          <w:rFonts w:hint="eastAsia"/>
          <w:color w:val="000000"/>
          <w:szCs w:val="32"/>
          <w:shd w:val="clear" w:color="auto" w:fill="FFFFFF"/>
        </w:rPr>
        <w:t>或以下等次的应占一定比例，一般建议为</w:t>
      </w:r>
      <w:r>
        <w:rPr>
          <w:color w:val="000000"/>
          <w:szCs w:val="32"/>
          <w:shd w:val="clear" w:color="auto" w:fill="FFFFFF"/>
        </w:rPr>
        <w:t>10%</w:t>
      </w:r>
      <w:r>
        <w:rPr>
          <w:rFonts w:hint="eastAsia"/>
          <w:color w:val="000000"/>
          <w:szCs w:val="32"/>
          <w:shd w:val="clear" w:color="auto" w:fill="FFFFFF"/>
        </w:rPr>
        <w:t>左右。综合评价意见</w:t>
      </w:r>
      <w:r>
        <w:rPr>
          <w:rFonts w:hint="eastAsia"/>
          <w:color w:val="000000"/>
          <w:szCs w:val="32"/>
          <w:shd w:val="clear" w:color="auto" w:fill="FFFFFF"/>
        </w:rPr>
        <w:t>及等次经校党委研究后，向被考核人反馈，在一定范围内通报，并按照干部管理权限，归入干部人事档案。</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000000"/>
          <w:szCs w:val="32"/>
          <w:shd w:val="clear" w:color="auto" w:fill="FFFFFF"/>
        </w:rPr>
      </w:pPr>
      <w:r>
        <w:rPr>
          <w:rFonts w:hint="eastAsia"/>
          <w:color w:val="000000"/>
          <w:szCs w:val="32"/>
          <w:shd w:val="clear" w:color="auto" w:fill="FFFFFF"/>
        </w:rPr>
        <w:t>凡述职年度内二级党组织党政班子受到问责的，或述职评议测评分数排名末位的，其述职评议考核结果不能评定为</w:t>
      </w:r>
      <w:r>
        <w:rPr>
          <w:color w:val="000000"/>
          <w:szCs w:val="32"/>
          <w:shd w:val="clear" w:color="auto" w:fill="FFFFFF"/>
        </w:rPr>
        <w:t>“</w:t>
      </w:r>
      <w:r>
        <w:rPr>
          <w:rFonts w:hint="eastAsia"/>
          <w:color w:val="000000"/>
          <w:szCs w:val="32"/>
          <w:shd w:val="clear" w:color="auto" w:fill="FFFFFF"/>
        </w:rPr>
        <w:t>好</w:t>
      </w:r>
      <w:r>
        <w:rPr>
          <w:color w:val="000000"/>
          <w:szCs w:val="32"/>
          <w:shd w:val="clear" w:color="auto" w:fill="FFFFFF"/>
        </w:rPr>
        <w:t>”</w:t>
      </w:r>
      <w:r>
        <w:rPr>
          <w:rFonts w:hint="eastAsia"/>
          <w:color w:val="000000"/>
          <w:szCs w:val="32"/>
          <w:shd w:val="clear" w:color="auto" w:fill="FFFFFF"/>
        </w:rPr>
        <w:t>等次。</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eastAsia="黑体" w:hint="eastAsia"/>
          <w:color w:val="000000"/>
          <w:szCs w:val="32"/>
          <w:shd w:val="clear" w:color="auto" w:fill="FFFFFF"/>
        </w:rPr>
        <w:t xml:space="preserve">第六条　</w:t>
      </w:r>
      <w:r>
        <w:rPr>
          <w:rFonts w:hint="eastAsia"/>
          <w:color w:val="000000"/>
          <w:szCs w:val="32"/>
          <w:shd w:val="clear" w:color="auto" w:fill="FFFFFF"/>
        </w:rPr>
        <w:t>把抓基层党建工作情况作为二级党组织书记工作实绩评定的重要内容，作为领导干部选拔任用、培养教育和奖励惩戒的重要依据，作为评价其所在单位年度党建工作成效的重要依据。述职评议考核综合评价等次未达到</w:t>
      </w:r>
      <w:r>
        <w:rPr>
          <w:color w:val="000000"/>
          <w:szCs w:val="32"/>
          <w:shd w:val="clear" w:color="auto" w:fill="FFFFFF"/>
        </w:rPr>
        <w:t>“</w:t>
      </w:r>
      <w:r>
        <w:rPr>
          <w:rFonts w:hint="eastAsia"/>
          <w:color w:val="000000"/>
          <w:szCs w:val="32"/>
          <w:shd w:val="clear" w:color="auto" w:fill="FFFFFF"/>
        </w:rPr>
        <w:t>好</w:t>
      </w:r>
      <w:r>
        <w:rPr>
          <w:color w:val="000000"/>
          <w:szCs w:val="32"/>
          <w:shd w:val="clear" w:color="auto" w:fill="FFFFFF"/>
        </w:rPr>
        <w:t>”</w:t>
      </w:r>
      <w:r>
        <w:rPr>
          <w:rFonts w:hint="eastAsia"/>
          <w:color w:val="000000"/>
          <w:szCs w:val="32"/>
          <w:shd w:val="clear" w:color="auto" w:fill="FFFFFF"/>
        </w:rPr>
        <w:t>的，其个人年度考核不得评定为</w:t>
      </w:r>
      <w:r>
        <w:rPr>
          <w:color w:val="000000"/>
          <w:szCs w:val="32"/>
          <w:shd w:val="clear" w:color="auto" w:fill="FFFFFF"/>
        </w:rPr>
        <w:t>“</w:t>
      </w:r>
      <w:r>
        <w:rPr>
          <w:rFonts w:hint="eastAsia"/>
          <w:color w:val="000000"/>
          <w:szCs w:val="32"/>
          <w:shd w:val="clear" w:color="auto" w:fill="FFFFFF"/>
        </w:rPr>
        <w:t>优秀</w:t>
      </w:r>
      <w:r>
        <w:rPr>
          <w:color w:val="000000"/>
          <w:szCs w:val="32"/>
          <w:shd w:val="clear" w:color="auto" w:fill="FFFFFF"/>
        </w:rPr>
        <w:t>”</w:t>
      </w:r>
      <w:r>
        <w:rPr>
          <w:rFonts w:hint="eastAsia"/>
          <w:color w:val="000000"/>
          <w:szCs w:val="32"/>
          <w:shd w:val="clear" w:color="auto" w:fill="FFFFFF"/>
        </w:rPr>
        <w:t>等次；综合评价等次为</w:t>
      </w:r>
      <w:r>
        <w:rPr>
          <w:color w:val="000000"/>
          <w:szCs w:val="32"/>
          <w:shd w:val="clear" w:color="auto" w:fill="FFFFFF"/>
        </w:rPr>
        <w:t>“</w:t>
      </w:r>
      <w:r>
        <w:rPr>
          <w:rFonts w:hint="eastAsia"/>
          <w:color w:val="000000"/>
          <w:szCs w:val="32"/>
          <w:shd w:val="clear" w:color="auto" w:fill="FFFFFF"/>
        </w:rPr>
        <w:t>一般</w:t>
      </w:r>
      <w:r>
        <w:rPr>
          <w:color w:val="000000"/>
          <w:szCs w:val="32"/>
          <w:shd w:val="clear" w:color="auto" w:fill="FFFFFF"/>
        </w:rPr>
        <w:t>”</w:t>
      </w:r>
      <w:r>
        <w:rPr>
          <w:rFonts w:hint="eastAsia"/>
          <w:color w:val="000000"/>
          <w:szCs w:val="32"/>
          <w:shd w:val="clear" w:color="auto" w:fill="FFFFFF"/>
        </w:rPr>
        <w:t>和</w:t>
      </w:r>
      <w:r>
        <w:rPr>
          <w:color w:val="000000"/>
          <w:szCs w:val="32"/>
          <w:shd w:val="clear" w:color="auto" w:fill="FFFFFF"/>
        </w:rPr>
        <w:t>“</w:t>
      </w:r>
      <w:r>
        <w:rPr>
          <w:rFonts w:hint="eastAsia"/>
          <w:color w:val="000000"/>
          <w:szCs w:val="32"/>
          <w:shd w:val="clear" w:color="auto" w:fill="FFFFFF"/>
        </w:rPr>
        <w:t>差</w:t>
      </w:r>
      <w:r>
        <w:rPr>
          <w:color w:val="000000"/>
          <w:szCs w:val="32"/>
          <w:shd w:val="clear" w:color="auto" w:fill="FFFFFF"/>
        </w:rPr>
        <w:t>”</w:t>
      </w:r>
      <w:r>
        <w:rPr>
          <w:rFonts w:hint="eastAsia"/>
          <w:color w:val="000000"/>
          <w:szCs w:val="32"/>
          <w:shd w:val="clear" w:color="auto" w:fill="FFFFFF"/>
        </w:rPr>
        <w:t>的，要约谈提醒、限期整改，问题严重的要依照有关规定严肃追责问责。</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000000"/>
          <w:szCs w:val="32"/>
          <w:shd w:val="clear" w:color="auto" w:fill="FFFFFF"/>
        </w:rPr>
      </w:pPr>
      <w:r>
        <w:rPr>
          <w:rFonts w:hint="eastAsia"/>
          <w:color w:val="000000"/>
          <w:szCs w:val="32"/>
          <w:shd w:val="clear" w:color="auto" w:fill="FFFFFF"/>
        </w:rPr>
        <w:lastRenderedPageBreak/>
        <w:t>述职的二级党组织书记应针对述职评议考核中指出的问题，制定整改清单，认真抓好整改落实。学校党委强化督促检查，及时通报整改情况，避免简单以问责代替整改。</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eastAsia="黑体" w:hint="eastAsia"/>
          <w:color w:val="000000"/>
          <w:szCs w:val="32"/>
          <w:shd w:val="clear" w:color="auto" w:fill="FFFFFF"/>
        </w:rPr>
        <w:t xml:space="preserve">第七条　</w:t>
      </w:r>
      <w:r>
        <w:rPr>
          <w:rFonts w:hint="eastAsia"/>
          <w:color w:val="000000"/>
          <w:szCs w:val="32"/>
        </w:rPr>
        <w:t>各二级党组织参照本办法负责所属党支部书记抓基层党建工作述职评议考核</w:t>
      </w:r>
      <w:r>
        <w:rPr>
          <w:rFonts w:hint="eastAsia"/>
          <w:color w:val="000000"/>
          <w:szCs w:val="32"/>
        </w:rPr>
        <w:t>。</w:t>
      </w:r>
    </w:p>
    <w:p w:rsidR="00881AB7" w:rsidRDefault="00363484">
      <w:pPr>
        <w:widowControl/>
        <w:pBdr>
          <w:top w:val="none" w:sz="0" w:space="1" w:color="auto"/>
          <w:left w:val="none" w:sz="0" w:space="4" w:color="auto"/>
          <w:bottom w:val="none" w:sz="0" w:space="1" w:color="auto"/>
          <w:right w:val="none" w:sz="0" w:space="4" w:color="auto"/>
        </w:pBdr>
        <w:adjustRightInd w:val="0"/>
        <w:snapToGrid w:val="0"/>
        <w:spacing w:line="580" w:lineRule="exact"/>
        <w:ind w:firstLineChars="200" w:firstLine="640"/>
        <w:rPr>
          <w:color w:val="333333"/>
          <w:szCs w:val="32"/>
        </w:rPr>
      </w:pPr>
      <w:r>
        <w:rPr>
          <w:rFonts w:eastAsia="黑体" w:hint="eastAsia"/>
          <w:color w:val="000000"/>
          <w:szCs w:val="32"/>
          <w:shd w:val="clear" w:color="auto" w:fill="FFFFFF"/>
        </w:rPr>
        <w:t xml:space="preserve">第八条　</w:t>
      </w:r>
      <w:r>
        <w:rPr>
          <w:rFonts w:hint="eastAsia"/>
          <w:color w:val="000000"/>
          <w:szCs w:val="32"/>
          <w:shd w:val="clear" w:color="auto" w:fill="FFFFFF"/>
        </w:rPr>
        <w:t>学校党委加强对述职评议考核的领导，党委组织部门精心组织实施。</w:t>
      </w:r>
    </w:p>
    <w:p w:rsidR="00881AB7" w:rsidRDefault="00363484">
      <w:pPr>
        <w:widowControl/>
        <w:pBdr>
          <w:top w:val="none" w:sz="0" w:space="1" w:color="auto"/>
          <w:left w:val="none" w:sz="0" w:space="4" w:color="auto"/>
          <w:bottom w:val="none" w:sz="0" w:space="1" w:color="auto"/>
          <w:right w:val="none" w:sz="0" w:space="4" w:color="auto"/>
        </w:pBdr>
        <w:tabs>
          <w:tab w:val="left" w:pos="8460"/>
        </w:tabs>
        <w:spacing w:line="580" w:lineRule="exact"/>
        <w:ind w:firstLineChars="200" w:firstLine="640"/>
        <w:rPr>
          <w:color w:val="000000"/>
          <w:szCs w:val="32"/>
          <w:shd w:val="clear" w:color="auto" w:fill="FFFFFF"/>
        </w:rPr>
      </w:pPr>
      <w:r>
        <w:rPr>
          <w:rFonts w:eastAsia="黑体" w:hint="eastAsia"/>
          <w:color w:val="000000"/>
          <w:szCs w:val="32"/>
          <w:shd w:val="clear" w:color="auto" w:fill="FFFFFF"/>
        </w:rPr>
        <w:t>第九条</w:t>
      </w:r>
      <w:bookmarkStart w:id="4" w:name="OLE_LINK2"/>
      <w:bookmarkStart w:id="5" w:name="OLE_LINK3"/>
      <w:r>
        <w:rPr>
          <w:rFonts w:eastAsia="黑体" w:hint="eastAsia"/>
          <w:color w:val="000000"/>
          <w:szCs w:val="32"/>
          <w:shd w:val="clear" w:color="auto" w:fill="FFFFFF"/>
        </w:rPr>
        <w:t xml:space="preserve">　</w:t>
      </w:r>
      <w:bookmarkEnd w:id="4"/>
      <w:bookmarkEnd w:id="5"/>
      <w:r>
        <w:rPr>
          <w:rFonts w:hint="eastAsia"/>
          <w:color w:val="000000"/>
          <w:szCs w:val="32"/>
          <w:shd w:val="clear" w:color="auto" w:fill="FFFFFF"/>
        </w:rPr>
        <w:t>本办法由党委组织部负责解释，自印发之日起施行。</w:t>
      </w:r>
      <w:r>
        <w:rPr>
          <w:color w:val="000000"/>
          <w:szCs w:val="32"/>
          <w:shd w:val="clear" w:color="auto" w:fill="FFFFFF"/>
        </w:rPr>
        <w:t>原《安徽工程大学二级党组织书记抓基层党建工作述职评议考核办法（试行）》（党组字〔</w:t>
      </w:r>
      <w:r>
        <w:rPr>
          <w:color w:val="000000"/>
          <w:szCs w:val="32"/>
          <w:shd w:val="clear" w:color="auto" w:fill="FFFFFF"/>
        </w:rPr>
        <w:t>2021</w:t>
      </w:r>
      <w:r>
        <w:rPr>
          <w:color w:val="000000"/>
          <w:szCs w:val="32"/>
          <w:shd w:val="clear" w:color="auto" w:fill="FFFFFF"/>
        </w:rPr>
        <w:t>〕</w:t>
      </w:r>
      <w:r>
        <w:rPr>
          <w:color w:val="000000"/>
          <w:szCs w:val="32"/>
          <w:shd w:val="clear" w:color="auto" w:fill="FFFFFF"/>
        </w:rPr>
        <w:t>33</w:t>
      </w:r>
      <w:r>
        <w:rPr>
          <w:color w:val="000000"/>
          <w:szCs w:val="32"/>
          <w:shd w:val="clear" w:color="auto" w:fill="FFFFFF"/>
        </w:rPr>
        <w:t>号）同时废止。</w:t>
      </w:r>
    </w:p>
    <w:tbl>
      <w:tblPr>
        <w:tblpPr w:leftFromText="180" w:rightFromText="180" w:tblpYSpec="bottom"/>
        <w:tblOverlap w:val="never"/>
        <w:tblW w:w="8865" w:type="dxa"/>
        <w:tblBorders>
          <w:top w:val="single" w:sz="8" w:space="0" w:color="auto"/>
          <w:bottom w:val="single" w:sz="8" w:space="0" w:color="auto"/>
          <w:insideH w:val="outset" w:sz="6" w:space="0" w:color="auto"/>
          <w:insideV w:val="outset" w:sz="6" w:space="0" w:color="auto"/>
        </w:tblBorders>
        <w:tblLayout w:type="fixed"/>
        <w:tblLook w:val="0000" w:firstRow="0" w:lastRow="0" w:firstColumn="0" w:lastColumn="0" w:noHBand="0" w:noVBand="0"/>
      </w:tblPr>
      <w:tblGrid>
        <w:gridCol w:w="8865"/>
      </w:tblGrid>
      <w:tr w:rsidR="00881AB7">
        <w:trPr>
          <w:trHeight w:val="570"/>
        </w:trPr>
        <w:tc>
          <w:tcPr>
            <w:tcW w:w="9120" w:type="dxa"/>
            <w:tcBorders>
              <w:top w:val="single" w:sz="8" w:space="0" w:color="auto"/>
              <w:left w:val="nil"/>
              <w:bottom w:val="single" w:sz="8" w:space="0" w:color="auto"/>
              <w:right w:val="nil"/>
              <w:tl2br w:val="nil"/>
              <w:tr2bl w:val="nil"/>
            </w:tcBorders>
            <w:vAlign w:val="center"/>
          </w:tcPr>
          <w:p w:rsidR="00881AB7" w:rsidRDefault="00363484">
            <w:pPr>
              <w:pStyle w:val="a6"/>
              <w:widowControl/>
              <w:wordWrap w:val="0"/>
              <w:jc w:val="right"/>
              <w:rPr>
                <w:rFonts w:ascii="仿宋" w:eastAsia="仿宋" w:hAnsi="仿宋" w:cs="仿宋_GB2312"/>
                <w:color w:val="000000"/>
                <w:sz w:val="28"/>
                <w:szCs w:val="32"/>
              </w:rPr>
            </w:pPr>
            <w:r>
              <w:rPr>
                <w:rFonts w:ascii="仿宋" w:eastAsia="仿宋" w:hAnsi="仿宋" w:cs="仿宋_GB2312" w:hint="eastAsia"/>
                <w:color w:val="000000"/>
                <w:sz w:val="28"/>
                <w:szCs w:val="32"/>
              </w:rPr>
              <w:t>中共安徽工程大学委员会办公室</w:t>
            </w:r>
            <w:r>
              <w:rPr>
                <w:rFonts w:ascii="仿宋" w:eastAsia="仿宋" w:hAnsi="仿宋" w:cs="仿宋_GB2312" w:hint="eastAsia"/>
                <w:color w:val="000000"/>
                <w:sz w:val="28"/>
                <w:szCs w:val="32"/>
              </w:rPr>
              <w:t xml:space="preserve">              2025</w:t>
            </w:r>
            <w:r>
              <w:rPr>
                <w:rFonts w:ascii="仿宋" w:eastAsia="仿宋" w:hAnsi="仿宋" w:cs="仿宋_GB2312" w:hint="eastAsia"/>
                <w:color w:val="000000"/>
                <w:sz w:val="28"/>
                <w:szCs w:val="32"/>
              </w:rPr>
              <w:t>年</w:t>
            </w:r>
            <w:r>
              <w:rPr>
                <w:rFonts w:ascii="仿宋" w:eastAsia="仿宋" w:hAnsi="仿宋" w:cs="仿宋_GB2312"/>
                <w:color w:val="000000"/>
                <w:sz w:val="28"/>
                <w:szCs w:val="32"/>
              </w:rPr>
              <w:t>7</w:t>
            </w:r>
            <w:r>
              <w:rPr>
                <w:rFonts w:ascii="仿宋" w:eastAsia="仿宋" w:hAnsi="仿宋" w:cs="仿宋_GB2312" w:hint="eastAsia"/>
                <w:color w:val="000000"/>
                <w:sz w:val="28"/>
                <w:szCs w:val="32"/>
              </w:rPr>
              <w:t>月</w:t>
            </w:r>
            <w:r>
              <w:rPr>
                <w:rFonts w:ascii="仿宋" w:eastAsia="仿宋" w:hAnsi="仿宋" w:cs="仿宋_GB2312"/>
                <w:color w:val="000000"/>
                <w:sz w:val="28"/>
                <w:szCs w:val="32"/>
              </w:rPr>
              <w:t>31</w:t>
            </w:r>
            <w:r>
              <w:rPr>
                <w:rFonts w:ascii="仿宋" w:eastAsia="仿宋" w:hAnsi="仿宋" w:cs="仿宋_GB2312" w:hint="eastAsia"/>
                <w:color w:val="000000"/>
                <w:sz w:val="28"/>
                <w:szCs w:val="32"/>
              </w:rPr>
              <w:t>日印发</w:t>
            </w:r>
          </w:p>
        </w:tc>
      </w:tr>
    </w:tbl>
    <w:p w:rsidR="00881AB7" w:rsidRDefault="00881AB7">
      <w:pPr>
        <w:widowControl/>
        <w:pBdr>
          <w:top w:val="none" w:sz="0" w:space="1" w:color="auto"/>
          <w:left w:val="none" w:sz="0" w:space="4" w:color="auto"/>
          <w:bottom w:val="none" w:sz="0" w:space="1" w:color="auto"/>
          <w:right w:val="none" w:sz="0" w:space="4" w:color="auto"/>
        </w:pBdr>
        <w:tabs>
          <w:tab w:val="left" w:pos="8460"/>
        </w:tabs>
        <w:spacing w:line="580" w:lineRule="exact"/>
        <w:ind w:firstLineChars="200" w:firstLine="640"/>
        <w:rPr>
          <w:color w:val="000000"/>
          <w:szCs w:val="32"/>
          <w:shd w:val="clear" w:color="auto" w:fill="FFFFFF"/>
        </w:rPr>
      </w:pPr>
    </w:p>
    <w:p w:rsidR="00881AB7" w:rsidRDefault="00881AB7">
      <w:pPr>
        <w:widowControl/>
        <w:pBdr>
          <w:top w:val="none" w:sz="0" w:space="1" w:color="auto"/>
          <w:left w:val="none" w:sz="0" w:space="4" w:color="auto"/>
          <w:bottom w:val="none" w:sz="0" w:space="1" w:color="auto"/>
          <w:right w:val="none" w:sz="0" w:space="4" w:color="auto"/>
        </w:pBdr>
        <w:tabs>
          <w:tab w:val="left" w:pos="8460"/>
        </w:tabs>
        <w:spacing w:line="580" w:lineRule="exact"/>
        <w:ind w:firstLineChars="200" w:firstLine="640"/>
        <w:rPr>
          <w:color w:val="000000"/>
          <w:szCs w:val="32"/>
          <w:shd w:val="clear" w:color="auto" w:fill="FFFFFF"/>
        </w:rPr>
      </w:pPr>
    </w:p>
    <w:p w:rsidR="00881AB7" w:rsidRDefault="00881AB7">
      <w:pPr>
        <w:widowControl/>
        <w:autoSpaceDE w:val="0"/>
        <w:autoSpaceDN w:val="0"/>
        <w:adjustRightInd w:val="0"/>
        <w:jc w:val="left"/>
        <w:rPr>
          <w:rFonts w:ascii="仿宋" w:eastAsia="仿宋" w:hAnsi="仿宋"/>
          <w:sz w:val="28"/>
        </w:rPr>
      </w:pPr>
    </w:p>
    <w:p w:rsidR="00881AB7" w:rsidRDefault="00881AB7">
      <w:pPr>
        <w:spacing w:line="580" w:lineRule="exact"/>
        <w:ind w:firstLineChars="506" w:firstLine="1619"/>
        <w:rPr>
          <w:rFonts w:ascii="仿宋_GB2312"/>
          <w:szCs w:val="32"/>
        </w:rPr>
      </w:pPr>
    </w:p>
    <w:p w:rsidR="00881AB7" w:rsidRDefault="00881AB7">
      <w:pPr>
        <w:spacing w:line="580" w:lineRule="exact"/>
        <w:ind w:firstLineChars="506" w:firstLine="1619"/>
        <w:rPr>
          <w:rFonts w:ascii="仿宋_GB2312"/>
          <w:szCs w:val="32"/>
        </w:rPr>
      </w:pPr>
    </w:p>
    <w:p w:rsidR="00881AB7" w:rsidRDefault="00881AB7">
      <w:pPr>
        <w:spacing w:line="580" w:lineRule="exact"/>
        <w:ind w:rightChars="232" w:right="742" w:firstLineChars="506" w:firstLine="1619"/>
        <w:jc w:val="right"/>
        <w:rPr>
          <w:szCs w:val="32"/>
        </w:rPr>
      </w:pPr>
    </w:p>
    <w:p w:rsidR="00881AB7" w:rsidRDefault="00881AB7"/>
    <w:sectPr w:rsidR="00881AB7">
      <w:footerReference w:type="even" r:id="rId9"/>
      <w:footerReference w:type="default" r:id="rId10"/>
      <w:pgSz w:w="11906" w:h="16838"/>
      <w:pgMar w:top="2608" w:right="1474" w:bottom="1985"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84" w:rsidRDefault="00363484">
      <w:r>
        <w:separator/>
      </w:r>
    </w:p>
  </w:endnote>
  <w:endnote w:type="continuationSeparator" w:id="0">
    <w:p w:rsidR="00363484" w:rsidRDefault="0036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AB7" w:rsidRDefault="00363484">
    <w:pPr>
      <w:pStyle w:val="a4"/>
      <w:framePr w:wrap="around" w:vAnchor="text" w:hAnchor="margin" w:xAlign="outside" w:y="1"/>
    </w:pPr>
    <w:r>
      <w:rPr>
        <w:rStyle w:val="a5"/>
      </w:rPr>
      <w:fldChar w:fldCharType="begin"/>
    </w:r>
    <w:r>
      <w:rPr>
        <w:rStyle w:val="a5"/>
      </w:rPr>
      <w:instrText>Page</w:instrText>
    </w:r>
    <w:r>
      <w:rPr>
        <w:rStyle w:val="a5"/>
      </w:rPr>
      <w:fldChar w:fldCharType="separate"/>
    </w:r>
    <w:r>
      <w:rPr>
        <w:rStyle w:val="a5"/>
      </w:rPr>
      <w:t>1</w:t>
    </w:r>
    <w:r>
      <w:rPr>
        <w:rStyle w:val="a5"/>
      </w:rPr>
      <w:fldChar w:fldCharType="end"/>
    </w:r>
  </w:p>
  <w:p w:rsidR="00881AB7" w:rsidRDefault="00881AB7">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AB7" w:rsidRDefault="00363484">
    <w:pPr>
      <w:pStyle w:val="a4"/>
      <w:framePr w:wrap="around" w:vAnchor="text" w:hAnchor="margin" w:xAlign="outside" w:y="1"/>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 xml:space="preserve"> </w:t>
    </w:r>
    <w:r>
      <w:rPr>
        <w:rStyle w:val="a5"/>
        <w:rFonts w:ascii="宋体" w:eastAsia="宋体" w:hAnsi="宋体" w:cs="宋体" w:hint="eastAsia"/>
        <w:sz w:val="28"/>
        <w:szCs w:val="28"/>
      </w:rPr>
      <w:fldChar w:fldCharType="begin"/>
    </w:r>
    <w:r>
      <w:rPr>
        <w:rStyle w:val="a5"/>
        <w:rFonts w:ascii="宋体" w:eastAsia="宋体" w:hAnsi="宋体" w:cs="宋体" w:hint="eastAsia"/>
        <w:sz w:val="28"/>
        <w:szCs w:val="28"/>
      </w:rPr>
      <w:instrText>Page</w:instrText>
    </w:r>
    <w:r>
      <w:rPr>
        <w:rStyle w:val="a5"/>
        <w:rFonts w:ascii="宋体" w:eastAsia="宋体" w:hAnsi="宋体" w:cs="宋体" w:hint="eastAsia"/>
        <w:sz w:val="28"/>
        <w:szCs w:val="28"/>
      </w:rPr>
      <w:fldChar w:fldCharType="separate"/>
    </w:r>
    <w:r w:rsidR="005D2FD7">
      <w:rPr>
        <w:rStyle w:val="a5"/>
        <w:rFonts w:ascii="宋体" w:eastAsia="宋体" w:hAnsi="宋体" w:cs="宋体"/>
        <w:noProof/>
        <w:sz w:val="28"/>
        <w:szCs w:val="28"/>
      </w:rPr>
      <w:t>1</w:t>
    </w:r>
    <w:r>
      <w:rPr>
        <w:rStyle w:val="a5"/>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 xml:space="preserve"> </w:t>
    </w:r>
  </w:p>
  <w:p w:rsidR="00881AB7" w:rsidRDefault="00881AB7">
    <w:pPr>
      <w:pStyle w:val="a4"/>
      <w:ind w:firstLine="360"/>
      <w:rPr>
        <w:rFonts w:ascii="宋体" w:eastAsia="宋体" w:hAnsi="宋体" w:cs="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84" w:rsidRDefault="00363484">
      <w:r>
        <w:separator/>
      </w:r>
    </w:p>
  </w:footnote>
  <w:footnote w:type="continuationSeparator" w:id="0">
    <w:p w:rsidR="00363484" w:rsidRDefault="00363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6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881AB7"/>
    <w:rsid w:val="00363484"/>
    <w:rsid w:val="005D2FD7"/>
    <w:rsid w:val="0088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92EB9F-5827-4214-8A73-1387D00E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cs="Times New Roman"/>
      <w:kern w:val="2"/>
      <w:sz w:val="32"/>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qFormat/>
    <w:pPr>
      <w:keepNext/>
      <w:keepLines/>
      <w:spacing w:before="260" w:after="260" w:line="415" w:lineRule="auto"/>
      <w:outlineLvl w:val="1"/>
    </w:pPr>
    <w:rPr>
      <w:rFonts w:eastAsia="黑体"/>
      <w:b/>
      <w:bCs/>
      <w:szCs w:val="32"/>
    </w:rPr>
  </w:style>
  <w:style w:type="paragraph" w:styleId="3">
    <w:name w:val="heading 3"/>
    <w:basedOn w:val="a"/>
    <w:next w:val="a"/>
    <w:link w:val="30"/>
    <w:qFormat/>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Times New Roman" w:eastAsia="仿宋_GB2312" w:hAnsi="Times New Roman" w:cs="Times New Roman"/>
      <w:b/>
      <w:bCs w:val="0"/>
      <w:i w:val="0"/>
      <w:caps w:val="0"/>
      <w:smallCaps w:val="0"/>
      <w:strike w:val="0"/>
      <w:dstrike w:val="0"/>
      <w:snapToGrid/>
      <w:vanish w:val="0"/>
      <w:color w:val="auto"/>
      <w:spacing w:val="0"/>
      <w:w w:val="100"/>
      <w:kern w:val="44"/>
      <w:position w:val="0"/>
      <w:sz w:val="44"/>
      <w:szCs w:val="24"/>
      <w:u w:val="none"/>
      <w:shd w:val="clear" w:color="auto" w:fill="auto"/>
      <w:vertAlign w:val="baseline"/>
      <w:em w:val="none"/>
      <w:lang w:val="en-US" w:eastAsia="zh-CN" w:bidi="ar-SA"/>
    </w:rPr>
  </w:style>
  <w:style w:type="character" w:customStyle="1" w:styleId="20">
    <w:name w:val="标题 2 字符"/>
    <w:basedOn w:val="a0"/>
    <w:link w:val="2"/>
    <w:rPr>
      <w:rFonts w:ascii="Times New Roman" w:eastAsia="黑体" w:hAnsi="Times New Roman" w:cs="Times New Roman"/>
      <w:b/>
      <w:bCs/>
      <w:i w:val="0"/>
      <w:caps w:val="0"/>
      <w:smallCaps w:val="0"/>
      <w:strike w:val="0"/>
      <w:dstrike w:val="0"/>
      <w:snapToGrid/>
      <w:vanish w:val="0"/>
      <w:color w:val="auto"/>
      <w:spacing w:val="0"/>
      <w:w w:val="100"/>
      <w:kern w:val="2"/>
      <w:position w:val="0"/>
      <w:sz w:val="32"/>
      <w:szCs w:val="32"/>
      <w:u w:val="none"/>
      <w:shd w:val="clear" w:color="auto" w:fill="auto"/>
      <w:vertAlign w:val="baseline"/>
      <w:em w:val="none"/>
      <w:lang w:val="en-US" w:eastAsia="zh-CN" w:bidi="ar-SA"/>
    </w:rPr>
  </w:style>
  <w:style w:type="character" w:customStyle="1" w:styleId="30">
    <w:name w:val="标题 3 字符"/>
    <w:basedOn w:val="a0"/>
    <w:link w:val="3"/>
    <w:rPr>
      <w:rFonts w:ascii="Times New Roman" w:eastAsia="仿宋_GB2312" w:hAnsi="Times New Roman" w:cs="Times New Roman"/>
      <w:b/>
      <w:bCs/>
      <w:i w:val="0"/>
      <w:caps w:val="0"/>
      <w:smallCaps w:val="0"/>
      <w:strike w:val="0"/>
      <w:dstrike w:val="0"/>
      <w:snapToGrid/>
      <w:vanish w:val="0"/>
      <w:color w:val="auto"/>
      <w:spacing w:val="0"/>
      <w:w w:val="100"/>
      <w:kern w:val="2"/>
      <w:position w:val="0"/>
      <w:sz w:val="32"/>
      <w:szCs w:val="32"/>
      <w:u w:val="none"/>
      <w:shd w:val="clear" w:color="auto" w:fill="auto"/>
      <w:vertAlign w:val="baseline"/>
      <w:em w:val="none"/>
      <w:lang w:val="en-US" w:eastAsia="zh-CN" w:bidi="ar-SA"/>
    </w:rPr>
  </w:style>
  <w:style w:type="paragraph" w:styleId="11">
    <w:name w:val="toc 1"/>
    <w:basedOn w:val="a"/>
    <w:next w:val="a"/>
    <w:autoRedefine/>
    <w:qFormat/>
  </w:style>
  <w:style w:type="paragraph" w:styleId="21">
    <w:name w:val="toc 2"/>
    <w:basedOn w:val="a"/>
    <w:next w:val="a"/>
    <w:autoRedefine/>
    <w:qFormat/>
    <w:pPr>
      <w:ind w:left="420"/>
    </w:pPr>
  </w:style>
  <w:style w:type="paragraph" w:styleId="31">
    <w:name w:val="toc 3"/>
    <w:basedOn w:val="a"/>
    <w:next w:val="a"/>
    <w:autoRedefine/>
    <w:qFormat/>
    <w:pPr>
      <w:ind w:left="840"/>
    </w:pPr>
  </w:style>
  <w:style w:type="paragraph" w:styleId="4">
    <w:name w:val="toc 4"/>
    <w:basedOn w:val="a"/>
    <w:next w:val="a"/>
    <w:autoRedefine/>
    <w:qFormat/>
    <w:pPr>
      <w:ind w:left="1260"/>
    </w:pPr>
  </w:style>
  <w:style w:type="paragraph" w:styleId="5">
    <w:name w:val="toc 5"/>
    <w:basedOn w:val="a"/>
    <w:next w:val="a"/>
    <w:autoRedefine/>
    <w:qFormat/>
    <w:pPr>
      <w:ind w:left="1680"/>
    </w:pPr>
  </w:style>
  <w:style w:type="paragraph" w:styleId="a3">
    <w:name w:val="header"/>
    <w:basedOn w:val="a"/>
    <w:qFormat/>
    <w:pPr>
      <w:pBdr>
        <w:bottom w:val="single" w:sz="6" w:space="1" w:color="auto"/>
      </w:pBdr>
      <w:tabs>
        <w:tab w:val="center" w:pos="4153"/>
        <w:tab w:val="right" w:pos="8307"/>
      </w:tabs>
      <w:snapToGrid w:val="0"/>
      <w:jc w:val="center"/>
    </w:pPr>
    <w:rPr>
      <w:sz w:val="18"/>
      <w:szCs w:val="18"/>
    </w:rPr>
  </w:style>
  <w:style w:type="paragraph" w:styleId="a4">
    <w:name w:val="footer"/>
    <w:basedOn w:val="a"/>
    <w:qFormat/>
    <w:pPr>
      <w:tabs>
        <w:tab w:val="center" w:pos="4153"/>
        <w:tab w:val="right" w:pos="8307"/>
      </w:tabs>
      <w:snapToGrid w:val="0"/>
      <w:jc w:val="left"/>
    </w:pPr>
    <w:rPr>
      <w:sz w:val="18"/>
      <w:szCs w:val="18"/>
    </w:rPr>
  </w:style>
  <w:style w:type="paragraph" w:styleId="6">
    <w:name w:val="index 6"/>
    <w:basedOn w:val="a"/>
    <w:next w:val="a"/>
    <w:autoRedefine/>
    <w:qFormat/>
    <w:pPr>
      <w:ind w:left="2100"/>
    </w:pPr>
  </w:style>
  <w:style w:type="character" w:styleId="a5">
    <w:name w:val="page number"/>
    <w:basedOn w:val="a0"/>
    <w:qFormat/>
  </w:style>
  <w:style w:type="paragraph" w:styleId="a6">
    <w:name w:val="Normal (Web)"/>
    <w:basedOn w:val="a"/>
    <w:next w:val="11"/>
    <w:qFormat/>
    <w:rPr>
      <w:rFonts w:ascii="Calibri" w:eastAsia="宋体" w:hAnsi="Calibri"/>
      <w:sz w:val="24"/>
      <w:szCs w:val="22"/>
    </w:rPr>
  </w:style>
  <w:style w:type="paragraph" w:customStyle="1" w:styleId="p6">
    <w:name w:val="p6"/>
    <w:basedOn w:val="a"/>
    <w:qFormat/>
    <w:pPr>
      <w:widowControl/>
      <w:spacing w:before="100" w:beforeAutospacing="1" w:after="100" w:afterAutospacing="1"/>
      <w:jc w:val="left"/>
    </w:pPr>
    <w:rPr>
      <w:rFonts w:ascii="宋体" w:eastAsia="宋体" w:hAnsi="宋体"/>
      <w:kern w:val="0"/>
      <w:sz w:val="24"/>
    </w:rPr>
  </w:style>
  <w:style w:type="paragraph" w:styleId="a7">
    <w:name w:val="Balloon Text"/>
    <w:basedOn w:val="a"/>
    <w:link w:val="a8"/>
    <w:uiPriority w:val="99"/>
    <w:semiHidden/>
    <w:unhideWhenUsed/>
    <w:rsid w:val="005D2FD7"/>
    <w:rPr>
      <w:sz w:val="18"/>
      <w:szCs w:val="18"/>
    </w:rPr>
  </w:style>
  <w:style w:type="character" w:customStyle="1" w:styleId="a8">
    <w:name w:val="批注框文本 字符"/>
    <w:basedOn w:val="a0"/>
    <w:link w:val="a7"/>
    <w:uiPriority w:val="99"/>
    <w:semiHidden/>
    <w:rsid w:val="005D2FD7"/>
    <w:rPr>
      <w:rFonts w:eastAsia="仿宋_GB2312"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customProps>
</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DA8BC-DB13-4F6E-AD9B-8940E8E4555B}">
  <ds:schemaRefs>
    <ds:schemaRef ds:uri="http://www.yozosoft.com.cn/officeDocument/2016/customData"/>
  </ds:schemaRefs>
</ds:datastoreItem>
</file>

<file path=customXml/itemProps2.xml><?xml version="1.0" encoding="utf-8"?>
<ds:datastoreItem xmlns:ds="http://schemas.openxmlformats.org/officeDocument/2006/customXml" ds:itemID="{E5CDC0E3-0067-4B7D-B562-86E9F8B3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377</Words>
  <Characters>2151</Characters>
  <Application>Microsoft Office Word</Application>
  <DocSecurity>0</DocSecurity>
  <Lines>17</Lines>
  <Paragraphs>5</Paragraphs>
  <ScaleCrop>false</ScaleCrop>
  <Company>P R C</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郑滨</dc:creator>
  <cp:lastModifiedBy>黎新宏</cp:lastModifiedBy>
  <cp:revision>3</cp:revision>
  <dcterms:created xsi:type="dcterms:W3CDTF">2021-01-13T06:20:00Z</dcterms:created>
  <dcterms:modified xsi:type="dcterms:W3CDTF">2025-08-03T10:25:00Z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ies>
</file>